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d6316d5b84fb1" /><Relationship Type="http://schemas.openxmlformats.org/package/2006/relationships/metadata/core-properties" Target="/docProps/core.xml" Id="R7a640ff568fb42a1" /><Relationship Type="http://schemas.openxmlformats.org/officeDocument/2006/relationships/extended-properties" Target="/docProps/app.xml" Id="R7966fcc3ede34ca8" /><Relationship Type="http://schemas.openxmlformats.org/officeDocument/2006/relationships/custom-properties" Target="/docProps/custom.xml" Id="R8053f650674a498e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>
        <w:pStyle w:val="Heading1"/>
      </w:pPr>
      <w:r>
        <w:rPr/>
        <w:t xml:space="preserve">Northside Dental — Monthly Client Report</w:t>
      </w:r>
    </w:p>
    <w:p w14:paraId="00100002" w14:textId="00100003">
      <w:pPr>
        <w:jc w:val="center"/>
      </w:pPr>
      <w:r>
        <w:rPr>
          <w:i/>
          <w:color w:val="44546A"/>
        </w:rPr>
        <w:t xml:space="preserve">July 1–31, 2026 · Compared with June 2026 · USD</w:t>
      </w:r>
    </w:p>
    <w:p w14:paraId="00100004" w14:textId="00100005">
      <w:pPr>
        <w:jc w:val="center"/>
      </w:pPr>
      <w:r>
        <w:rPr>
          <w:b/>
          <w:highlight w:val="yellow"/>
        </w:rPr>
        <w:t xml:space="preserve">SYNTHETIC SAMPLE DATA — NOT REAL CLIENT DATA</w:t>
      </w:r>
    </w:p>
    <w:p w14:paraId="00100006" w14:textId="00100007">
      <w:pPr>
        <w:jc w:val="center"/>
      </w:pPr>
      <w:r>
        <w:rPr>
          <w:color w:val="666666"/>
        </w:rPr>
        <w:t xml:space="preserve">Prepared as a reusable example for an independent marketing freelancer serving a local dental practice.</w:t>
      </w:r>
    </w:p>
    <w:p w14:paraId="00100008" w14:textId="00100009">
      <w:pPr>
        <w:pStyle w:val="Heading1"/>
      </w:pPr>
      <w:r>
        <w:rPr/>
        <w:t xml:space="preserve">1. Verdict</w:t>
      </w:r>
    </w:p>
    <w:p w14:paraId="0010000A" w14:textId="0010000B">
      <w:pPr/>
      <w:r>
        <w:rPr/>
        <w:t xml:space="preserve">July generated 47 enquiries, 17.5% above the target of 40, while cost per enquiry fell to $44.26 from $54.86 in June. The account produced more demand at a lower acquisition cost, so the priority is to build on the strongest efficiency gains rather than broaden activity indiscriminately.</w:t>
      </w:r>
    </w:p>
    <w:p w14:paraId="0010000C" w14:textId="0010000D">
      <w:pPr>
        <w:pStyle w:val="Heading1"/>
      </w:pPr>
      <w:r>
        <w:rPr/>
        <w:t xml:space="preserve">2. Against Goal</w:t>
      </w:r>
    </w:p>
    <w:p w14:paraId="0010000E" w14:textId="0010000F">
      <w:pPr/>
      <w:r>
        <w:rPr/>
        <w:t xml:space="preserve">Commitment: 40 qualified enquiries in July. Actual result: 47 enquiries. Target attainment: 117.5%. This is the report’s primary success measure because it connects marketing activity to the volume the client expected.</w:t>
      </w:r>
    </w:p>
    <w:p w14:paraId="00100010" w14:textId="00100011">
      <w:pPr/>
      <w:r>
        <w:rPr/>
        <w:t xml:space="preserve">Enquiries increased by 27.0% month over month, from 37 in June to 47 in July. Organic search contributed 19, Google Ads contributed 22, and social media contributed 6.</w:t>
      </w:r>
    </w:p>
    <w:p w14:paraId="00100012" w14:textId="00100013">
      <w:pPr>
        <w:pStyle w:val="Heading1"/>
      </w:pPr>
      <w:r>
        <w:rPr/>
        <w:t xml:space="preserve">3. What Was Done</w:t>
      </w:r>
    </w:p>
    <w:p w14:paraId="00100014" w14:textId="00100015">
      <w:pPr>
        <w:pStyle w:val="Heading2"/>
      </w:pPr>
      <w:r>
        <w:rPr/>
        <w:t xml:space="preserve">Local SEO delivery</w:t>
      </w:r>
    </w:p>
    <w:p w14:paraId="00100016" w14:textId="00100017">
      <w:pPr>
        <w:numPr>
          <w:ilvl w:val="0"/>
          <w:numId w:val="1"/>
        </w:numPr>
      </w:pPr>
      <w:r>
        <w:rPr/>
        <w:t xml:space="preserve">Maintained and improved search visibility for high-intent local dental queries; reviewed query performance; identified the next landing-page opportunity from the synthetic SEO sample.</w:t>
      </w:r>
    </w:p>
    <w:p w14:paraId="00100018" w14:textId="00100019">
      <w:pPr>
        <w:pStyle w:val="Heading2"/>
      </w:pPr>
      <w:r>
        <w:rPr/>
        <w:t xml:space="preserve">Paid search delivery</w:t>
      </w:r>
    </w:p>
    <w:p w14:paraId="0010001A" w14:textId="0010001B">
      <w:pPr>
        <w:numPr>
          <w:ilvl w:val="0"/>
          <w:numId w:val="2"/>
        </w:numPr>
      </w:pPr>
      <w:r>
        <w:rPr/>
        <w:t xml:space="preserve">Managed Google Ads toward qualified enquiries while controlling cost per enquiry; July delivered 22 paid-search enquiries on $1,840 in spend.</w:t>
      </w:r>
    </w:p>
    <w:p w14:paraId="0010001C" w14:textId="0010001D">
      <w:pPr>
        <w:pStyle w:val="Heading2"/>
      </w:pPr>
      <w:r>
        <w:rPr/>
        <w:t xml:space="preserve">Social media delivery</w:t>
      </w:r>
    </w:p>
    <w:p w14:paraId="0010001E" w14:textId="0010001F">
      <w:pPr>
        <w:numPr>
          <w:ilvl w:val="0"/>
          <w:numId w:val="3"/>
        </w:numPr>
      </w:pPr>
      <w:r>
        <w:rPr/>
        <w:t xml:space="preserve">Published and monitored supporting social activity; July delivered 6 enquiries on $240 in spend.</w:t>
      </w:r>
    </w:p>
    <w:p w14:paraId="00100020" w14:textId="00100021">
      <w:pPr>
        <w:pStyle w:val="Heading2"/>
      </w:pPr>
      <w:r>
        <w:rPr/>
        <w:t xml:space="preserve">Measurement delivery</w:t>
      </w:r>
    </w:p>
    <w:p w14:paraId="00100022" w14:textId="00100023">
      <w:pPr>
        <w:numPr>
          <w:ilvl w:val="0"/>
          <w:numId w:val="4"/>
        </w:numPr>
      </w:pPr>
      <w:r>
        <w:rPr/>
        <w:t xml:space="preserve">Consolidated channel, website, appointment, call, and SEO metrics into one repeatable workbook so the written report and charts use the same source figures.</w:t>
      </w:r>
    </w:p>
    <w:p w14:paraId="00100024" w14:textId="00100025">
      <w:pPr>
        <w:pStyle w:val="Heading1"/>
      </w:pPr>
      <w:r>
        <w:rPr/>
        <w:t xml:space="preserve">4. The Data</w:t>
      </w:r>
    </w:p>
    <w:p w14:paraId="00100026" w14:textId="00100027">
      <w:pPr/>
      <w:r>
        <w:rPr/>
        <w:t xml:space="preserve">Total enquiries: 47, up 27.0% from 37 in June. Demand grew across organic search, Google Ads, and social media rather than relying on one channel.</w:t>
      </w:r>
    </w:p>
    <w:p w14:paraId="00100028" w14:textId="00100029">
      <w:pPr/>
      <w:r>
        <w:rPr/>
        <w:t xml:space="preserve">Cost per enquiry: $44.26, down 19.3% from $54.86. Spend rose only slightly while enquiries grew faster, producing a meaningful efficiency improvement.</w:t>
      </w:r>
    </w:p>
    <w:p w14:paraId="0010002A" w14:textId="0010002B">
      <w:pPr/>
      <w:r>
        <w:rPr/>
        <w:t xml:space="preserve">Website sessions: 2,180, up 14.4% from 1,905. Traffic growth supported the enquiry increase, but enquiries grew faster than sessions, indicating better traffic quality or conversion.</w:t>
      </w:r>
    </w:p>
    <w:p w14:paraId="0010002C" w14:textId="0010002D">
      <w:pPr/>
      <w:r>
        <w:rPr/>
        <w:t xml:space="preserve">Booked appointments: 31, equal to a 66.0% conversion rate from enquiry to booked appointment. This confirms that the reported enquiries were commercially relevant rather than superficial traffic.</w:t>
      </w:r>
    </w:p>
    <w:p w14:paraId="0010002E" w14:textId="0010002F">
      <w:pPr/>
      <w:r>
        <w:rPr/>
        <w:t xml:space="preserve">Phone calls: 28 tracked calls in July. Calls remain an important response path for urgent and local-intent dental searches.</w:t>
      </w:r>
    </w:p>
    <w:p w14:paraId="00100030" w14:textId="00100031">
      <w:pPr/>
      <w:r>
        <w:rPr/>
        <w:t xml:space="preserve">SEO opportunity: “invisalign cost” produced 1,510 synthetic impressions, 22 clicks, a 1.5% CTR, and an average position of 11.8. It has meaningful demand, sits close to page one, and has the weakest CTR in the sample, making it the clearest next action.</w:t>
      </w:r>
    </w:p>
    <w:p w14:paraId="00100032" w14:textId="00100033">
      <w:pPr>
        <w:pStyle w:val="Heading1"/>
      </w:pPr>
      <w:r>
        <w:rPr/>
        <w:t xml:space="preserve">5. Next Month</w:t>
      </w:r>
    </w:p>
    <w:p w14:paraId="00100034" w14:textId="00100035">
      <w:pPr/>
      <w:r>
        <w:rPr/>
        <w:t xml:space="preserve">Create or substantially improve a dedicated “invisalign cost” landing page. Lead with a concise answer to the cost question, explain the factors that change price, add local proof and a clear consultation path, and test a stronger search title. Measure impressions, CTR, average position, enquiries, and booked appointments separately for this page.</w:t>
      </w:r>
    </w:p>
    <w:p w14:paraId="00100036" w14:textId="00100037">
      <w:pPr/>
      <w:r>
        <w:rPr/>
        <w:t xml:space="preserve">Keep Google Ads spend controlled while preserving the gains in cost per enquiry. Do not increase budget solely because July exceeded target; first confirm that booked-appointment quality remains stable.</w:t>
      </w:r>
    </w:p>
    <w:p w14:paraId="00100038" w14:textId="00100039">
      <w:pPr>
        <w:pStyle w:val="Heading1"/>
      </w:pPr>
      <w:r>
        <w:rPr/>
        <w:t xml:space="preserve">6. Needed From the Client</w:t>
      </w:r>
    </w:p>
    <w:p w14:paraId="0010003A" w14:textId="0010003B">
      <w:pPr>
        <w:numPr>
          <w:ilvl w:val="0"/>
          <w:numId w:val="5"/>
        </w:numPr>
      </w:pPr>
      <w:r>
        <w:rPr/>
        <w:t xml:space="preserve">Confirm the approved Invisalign price range or financing language that may be published.</w:t>
      </w:r>
    </w:p>
    <w:p w14:paraId="0010003C" w14:textId="0010003D">
      <w:pPr>
        <w:numPr>
          <w:ilvl w:val="0"/>
          <w:numId w:val="5"/>
        </w:numPr>
      </w:pPr>
      <w:r>
        <w:rPr/>
        <w:t xml:space="preserve">Provide two recent, permission-cleared patient testimonials relevant to orthodontic treatment.</w:t>
      </w:r>
    </w:p>
    <w:p w14:paraId="0010003E" w14:textId="0010003F">
      <w:pPr>
        <w:numPr>
          <w:ilvl w:val="0"/>
          <w:numId w:val="5"/>
        </w:numPr>
      </w:pPr>
      <w:r>
        <w:rPr/>
        <w:t xml:space="preserve">Confirm appointment availability and the preferred call-to-action for Invisalign consultations.</w:t>
      </w:r>
    </w:p>
    <w:p w14:paraId="00100040" w14:textId="00100041">
      <w:pPr>
        <w:numPr>
          <w:ilvl w:val="0"/>
          <w:numId w:val="5"/>
        </w:numPr>
      </w:pPr>
      <w:r>
        <w:rPr/>
        <w:t xml:space="preserve">Review the draft landing page within three business days so the test can start during August.</w:t>
      </w:r>
    </w:p>
    <w:p w14:paraId="00100042" w14:textId="00100043">
      <w:pPr>
        <w:pStyle w:val="Heading1"/>
      </w:pPr>
      <w:r>
        <w:rPr/>
        <w:t xml:space="preserve">How This Report Was Generated</w:t>
      </w:r>
    </w:p>
    <w:p w14:paraId="00100044" w14:textId="00100045">
      <w:pPr>
        <w:pStyle w:val="Heading2"/>
      </w:pPr>
      <w:r>
        <w:rPr/>
        <w:t xml:space="preserve">Step 1 — Workbook prompt</w:t>
      </w:r>
    </w:p>
    <w:p w14:paraId="00100046" w14:textId="00100047">
      <w:pPr>
        <w:pStyle w:val="Quote"/>
      </w:pPr>
      <w:r>
        <w:rPr/>
        <w:t xml:space="preserve">Build a client monthly report workbook with three sheets:</w:t>
        <w:br/>
        <w:br/>
        <w:t xml:space="preserve">1) Data entry: enquiries and spend by channel (organic / paid search / social) for this month and last month, plus sessions, booked appointments, and phone calls.</w:t>
        <w:br/>
        <w:t xml:space="preserve">2) Summary: compute attainment against target, cost per enquiry and its month-over-month change, enquiry growth, session growth, and appointment conversion rate. Every derived figure must be a live formula. Put the target in an editable cell and have the formulas reference it.</w:t>
        <w:br/>
        <w:t xml:space="preserve">3) SEO sample: query / impressions / clicks / CTR (as a formula) / average position.</w:t>
        <w:br/>
        <w:br/>
        <w:t xml:space="preserve">Add an assumptions block: reporting period, currency, metric definitions, editable target, and a label marking the data as synthetic.</w:t>
        <w:br/>
        <w:br/>
        <w:t xml:space="preserve">Charts must be native and editable: a channel enquiry bar chart starting at zero, and a cost-per-enquiry comparison. Enquiries and spend are different units — do not put them on the same primary axis; split them into two charts. Bind data series to value columns only; the category label column is the category axis, not a series.</w:t>
      </w:r>
    </w:p>
    <w:p w14:paraId="00100048" w14:textId="00100049">
      <w:pPr>
        <w:pStyle w:val="Heading2"/>
      </w:pPr>
      <w:r>
        <w:rPr/>
        <w:t xml:space="preserve">Step 2 — Document prompt</w:t>
      </w:r>
    </w:p>
    <w:p w14:paraId="0010004A" w14:textId="0010004B">
      <w:pPr>
        <w:pStyle w:val="Quote"/>
      </w:pPr>
      <w:r>
        <w:rPr/>
        <w:t xml:space="preserve">Write that workbook up as a client monthly report in Word, in six sections: verdict / against goal / what was done / the data / next month / needed from the client. Every metric in the data section gets one sentence of interpretation, not just a number. “Next month” must be a specific action — never “continue optimising”.</w:t>
      </w:r>
    </w:p>
    <w:p w14:paraId="0010004C" w14:textId="0010004D">
      <w:pPr>
        <w:pStyle w:val="Heading2"/>
      </w:pPr>
      <w:r>
        <w:rPr/>
        <w:t xml:space="preserve">Generation time</w:t>
      </w:r>
    </w:p>
    <w:p w14:paraId="0010004E" w14:textId="0010004F">
      <w:pPr/>
      <w:r>
        <w:rPr/>
        <w:t xml:space="preserve">No separately timed benchmark was recorded for this run. This report does not invent one.</w:t>
      </w:r>
    </w:p>
    <w:p w14:paraId="00100050" w14:textId="00100051">
      <w:pPr/>
      <w:r>
        <w:rPr>
          <w:b/>
          <w:color w:val="1F4E79"/>
        </w:rPr>
        <w:t xml:space="preserve">Regenerate the files with your own client data: https://orkas.ai/blog/monthly-client-report-template/#generate</w:t>
      </w:r>
    </w:p>
    <w:sectPr>
      <w:footerReference w:type="default" r:id="rId1"/>
      <w:pgSz w:w="11906" w:h="16838"/>
      <w:pgMar w:top="1440" w:right="1800" w:bottom="1440" w:left="1800"/>
      <w:docGrid w:type="default"/>
    </w:sectPr>
  </w:body>
</w:document>
</file>

<file path=word/footer1.xml><?xml version="1.0" encoding="utf-8"?>
<w:ftr xmlns:w="http://schemas.openxmlformats.org/wordprocessingml/2006/main">
  <!-- orkas-output-watermark:v1 -->
  <w:p>
    <w:pPr>
      <w:jc w:val="center"/>
    </w:pPr>
    <w:r>
      <w:rPr>
        <w:color w:val="777777"/>
        <w:sz w:val="16"/>
      </w:rPr>
      <w:t>由 Orkas 生成</w:t>
    </w:r>
  </w:p>
</w:ft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/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Times New Roman" w:hAnsi="Times New Roman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56ccbee9528417d" /><Relationship Type="http://schemas.openxmlformats.org/officeDocument/2006/relationships/styles" Target="/word/styles.xml" Id="R853b748e13e04acf" /><Relationship Type="http://schemas.openxmlformats.org/officeDocument/2006/relationships/theme" Target="/word/theme/theme1.xml" Id="R333b786ebba24472" /><Relationship Type="http://schemas.openxmlformats.org/officeDocument/2006/relationships/numbering" Target="/word/numbering.xml" Id="R2025d4ae32be45e9" />  <Relationship Id="rId1" Type="http://schemas.openxmlformats.org/officeDocument/2006/relationships/footer" Target="footer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OfficeCLI/1.0.139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2026-08-24T08:06:13Z</dcterms:created>
  <cp:lastModifiedBy>OfficeCLI</cp:lastModifiedBy>
  <dcterms:modified xsi:type="dcterms:W3CDTF">2026-08-24T08:06:13Z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1.0.139</vt:lpwstr>
  </op:property>
  <op:property fmtid="{D5CDD505-2E9C-101B-9397-08002B2CF9AE}" pid="3" name="OfficeCLI.LastModified">
    <vt:lpwstr xmlns:vt="http://schemas.openxmlformats.org/officeDocument/2006/docPropsVTypes">2026-08-24T08:06:16Z</vt:lpwstr>
  </op:property>
</op:Properties>
</file>